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AA52E6" w:rsidRPr="00131BC5" w:rsidRDefault="00AA52E6" w:rsidP="00AA52E6">
      <w:pPr>
        <w:spacing w:before="120"/>
        <w:ind w:left="435"/>
        <w:jc w:val="both"/>
        <w:rPr>
          <w:rFonts w:ascii="Times New Roman" w:hAnsi="Times New Roman"/>
          <w:bCs/>
          <w:iCs/>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
        <w:gridCol w:w="4524"/>
        <w:gridCol w:w="1843"/>
        <w:gridCol w:w="3119"/>
      </w:tblGrid>
      <w:tr w:rsidR="00E146EF" w:rsidRPr="00131BC5" w:rsidTr="00C8429A">
        <w:trPr>
          <w:cantSplit/>
          <w:trHeight w:val="240"/>
        </w:trPr>
        <w:tc>
          <w:tcPr>
            <w:tcW w:w="57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 п/п</w:t>
            </w:r>
          </w:p>
        </w:tc>
        <w:tc>
          <w:tcPr>
            <w:tcW w:w="452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Наименование и содержание критерия</w:t>
            </w:r>
          </w:p>
        </w:tc>
        <w:tc>
          <w:tcPr>
            <w:tcW w:w="4962" w:type="dxa"/>
            <w:gridSpan w:val="2"/>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Оценка Предложения</w:t>
            </w:r>
          </w:p>
        </w:tc>
      </w:tr>
      <w:tr w:rsidR="00E146EF" w:rsidRPr="00131BC5" w:rsidTr="00C8429A">
        <w:trPr>
          <w:cantSplit/>
          <w:trHeight w:val="240"/>
        </w:trPr>
        <w:tc>
          <w:tcPr>
            <w:tcW w:w="574" w:type="dxa"/>
            <w:vMerge/>
            <w:vAlign w:val="center"/>
          </w:tcPr>
          <w:p w:rsidR="00E146EF" w:rsidRPr="00131BC5" w:rsidRDefault="00E146EF" w:rsidP="00B10A67">
            <w:pPr>
              <w:jc w:val="center"/>
              <w:rPr>
                <w:rFonts w:ascii="Times New Roman" w:hAnsi="Times New Roman"/>
                <w:b/>
                <w:sz w:val="24"/>
                <w:szCs w:val="24"/>
              </w:rPr>
            </w:pPr>
          </w:p>
        </w:tc>
        <w:tc>
          <w:tcPr>
            <w:tcW w:w="4524" w:type="dxa"/>
            <w:vMerge/>
            <w:vAlign w:val="center"/>
          </w:tcPr>
          <w:p w:rsidR="00E146EF" w:rsidRPr="00131BC5" w:rsidRDefault="00E146EF" w:rsidP="00B10A67">
            <w:pPr>
              <w:jc w:val="center"/>
              <w:rPr>
                <w:rFonts w:ascii="Times New Roman" w:hAnsi="Times New Roman"/>
                <w:b/>
                <w:sz w:val="24"/>
                <w:szCs w:val="24"/>
              </w:rPr>
            </w:pPr>
          </w:p>
        </w:tc>
        <w:tc>
          <w:tcPr>
            <w:tcW w:w="1843"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Значение/</w:t>
            </w:r>
            <w:r w:rsidRPr="00131BC5">
              <w:rPr>
                <w:rFonts w:ascii="Times New Roman" w:hAnsi="Times New Roman"/>
                <w:sz w:val="24"/>
                <w:szCs w:val="24"/>
              </w:rPr>
              <w:t xml:space="preserve"> </w:t>
            </w:r>
            <w:r w:rsidRPr="00131BC5">
              <w:rPr>
                <w:rFonts w:ascii="Times New Roman" w:hAnsi="Times New Roman"/>
                <w:b/>
                <w:sz w:val="24"/>
                <w:szCs w:val="24"/>
              </w:rPr>
              <w:t>Коэффициент весомости критерия</w:t>
            </w:r>
          </w:p>
        </w:tc>
        <w:tc>
          <w:tcPr>
            <w:tcW w:w="3119"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Результат</w:t>
            </w:r>
          </w:p>
        </w:tc>
      </w:tr>
      <w:tr w:rsidR="00E146EF" w:rsidRPr="00131BC5" w:rsidTr="00C8429A">
        <w:trPr>
          <w:cantSplit/>
          <w:trHeight w:val="555"/>
        </w:trPr>
        <w:tc>
          <w:tcPr>
            <w:tcW w:w="574" w:type="dxa"/>
            <w:vAlign w:val="center"/>
          </w:tcPr>
          <w:p w:rsidR="00E146EF" w:rsidRPr="00131BC5" w:rsidRDefault="00E146EF" w:rsidP="00B10A67">
            <w:pPr>
              <w:jc w:val="center"/>
              <w:rPr>
                <w:rFonts w:ascii="Times New Roman" w:hAnsi="Times New Roman"/>
                <w:sz w:val="24"/>
                <w:szCs w:val="24"/>
              </w:rPr>
            </w:pPr>
            <w:r w:rsidRPr="00131BC5">
              <w:rPr>
                <w:rFonts w:ascii="Times New Roman" w:hAnsi="Times New Roman"/>
                <w:sz w:val="24"/>
                <w:szCs w:val="24"/>
              </w:rPr>
              <w:t>1.</w:t>
            </w:r>
          </w:p>
        </w:tc>
        <w:tc>
          <w:tcPr>
            <w:tcW w:w="4524" w:type="dxa"/>
            <w:vAlign w:val="center"/>
          </w:tcPr>
          <w:p w:rsidR="00E146EF" w:rsidRPr="00131BC5" w:rsidRDefault="00E146EF" w:rsidP="00B10A67">
            <w:pPr>
              <w:jc w:val="both"/>
              <w:rPr>
                <w:rFonts w:ascii="Times New Roman" w:hAnsi="Times New Roman"/>
                <w:sz w:val="24"/>
                <w:szCs w:val="24"/>
              </w:rPr>
            </w:pPr>
            <w:r w:rsidRPr="00131BC5">
              <w:rPr>
                <w:rFonts w:ascii="Times New Roman" w:hAnsi="Times New Roman"/>
                <w:sz w:val="24"/>
                <w:szCs w:val="24"/>
              </w:rPr>
              <w:t>Цена</w:t>
            </w:r>
          </w:p>
        </w:tc>
        <w:tc>
          <w:tcPr>
            <w:tcW w:w="1843" w:type="dxa"/>
            <w:vAlign w:val="center"/>
          </w:tcPr>
          <w:p w:rsidR="00E146EF" w:rsidRPr="00131BC5" w:rsidRDefault="00E146EF" w:rsidP="008526A6">
            <w:pPr>
              <w:jc w:val="center"/>
              <w:rPr>
                <w:rFonts w:ascii="Times New Roman" w:hAnsi="Times New Roman"/>
                <w:sz w:val="24"/>
                <w:szCs w:val="24"/>
              </w:rPr>
            </w:pPr>
            <w:r w:rsidRPr="00131BC5">
              <w:rPr>
                <w:rFonts w:ascii="Times New Roman" w:hAnsi="Times New Roman"/>
                <w:sz w:val="24"/>
                <w:szCs w:val="24"/>
              </w:rPr>
              <w:t>К</w:t>
            </w:r>
            <w:proofErr w:type="gramStart"/>
            <w:r w:rsidRPr="00131BC5">
              <w:rPr>
                <w:rFonts w:ascii="Times New Roman" w:hAnsi="Times New Roman"/>
                <w:sz w:val="24"/>
                <w:szCs w:val="24"/>
              </w:rPr>
              <w:t>1</w:t>
            </w:r>
            <w:proofErr w:type="gramEnd"/>
            <w:r w:rsidRPr="00131BC5">
              <w:rPr>
                <w:rFonts w:ascii="Times New Roman" w:hAnsi="Times New Roman"/>
                <w:sz w:val="24"/>
                <w:szCs w:val="24"/>
              </w:rPr>
              <w:t xml:space="preserve"> = </w:t>
            </w:r>
            <w:r w:rsidR="00B66608">
              <w:rPr>
                <w:rFonts w:ascii="Times New Roman" w:hAnsi="Times New Roman"/>
                <w:sz w:val="24"/>
                <w:szCs w:val="24"/>
              </w:rPr>
              <w:t>0,</w:t>
            </w:r>
            <w:r w:rsidR="00336376">
              <w:rPr>
                <w:rFonts w:ascii="Times New Roman" w:hAnsi="Times New Roman"/>
                <w:sz w:val="24"/>
                <w:szCs w:val="24"/>
              </w:rPr>
              <w:t>6</w:t>
            </w:r>
          </w:p>
        </w:tc>
        <w:tc>
          <w:tcPr>
            <w:tcW w:w="3119" w:type="dxa"/>
            <w:vAlign w:val="center"/>
          </w:tcPr>
          <w:p w:rsidR="00E146EF" w:rsidRPr="00131BC5" w:rsidRDefault="00E146EF" w:rsidP="00B10A67">
            <w:pPr>
              <w:jc w:val="center"/>
              <w:rPr>
                <w:rFonts w:ascii="Times New Roman" w:hAnsi="Times New Roman"/>
                <w:sz w:val="24"/>
                <w:szCs w:val="24"/>
                <w:lang w:val="en-US"/>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131BC5">
              <w:rPr>
                <w:rFonts w:ascii="Times New Roman" w:hAnsi="Times New Roman"/>
                <w:sz w:val="24"/>
                <w:szCs w:val="24"/>
                <w:lang w:val="en-US"/>
              </w:rPr>
              <w:t xml:space="preserve"> = </w:t>
            </w:r>
            <w:r w:rsidRPr="00131BC5">
              <w:rPr>
                <w:rFonts w:ascii="Times New Roman" w:hAnsi="Times New Roman"/>
                <w:sz w:val="24"/>
                <w:szCs w:val="24"/>
              </w:rPr>
              <w:t>К</w:t>
            </w:r>
            <w:proofErr w:type="gramStart"/>
            <w:r w:rsidRPr="00131BC5">
              <w:rPr>
                <w:rFonts w:ascii="Times New Roman" w:hAnsi="Times New Roman"/>
                <w:sz w:val="24"/>
                <w:szCs w:val="24"/>
              </w:rPr>
              <w:t>1</w:t>
            </w:r>
            <w:proofErr w:type="gramEnd"/>
            <w:r w:rsidRPr="00131BC5">
              <w:rPr>
                <w:rFonts w:ascii="Times New Roman" w:hAnsi="Times New Roman"/>
                <w:sz w:val="24"/>
                <w:szCs w:val="24"/>
                <w:lang w:val="en-US"/>
              </w:rPr>
              <w:t xml:space="preserve"> x </w:t>
            </w:r>
            <w:r w:rsidRPr="00131BC5">
              <w:rPr>
                <w:rFonts w:ascii="Times New Roman" w:hAnsi="Times New Roman"/>
                <w:sz w:val="24"/>
                <w:szCs w:val="24"/>
              </w:rPr>
              <w:t>Ц</w:t>
            </w:r>
            <w:r w:rsidRPr="00131BC5">
              <w:rPr>
                <w:rFonts w:ascii="Times New Roman" w:hAnsi="Times New Roman"/>
                <w:sz w:val="24"/>
                <w:szCs w:val="24"/>
                <w:vertAlign w:val="subscript"/>
                <w:lang w:val="en-US"/>
              </w:rPr>
              <w:t>min</w:t>
            </w:r>
            <w:r w:rsidRPr="00131BC5">
              <w:rPr>
                <w:rFonts w:ascii="Times New Roman" w:hAnsi="Times New Roman"/>
                <w:sz w:val="24"/>
                <w:szCs w:val="24"/>
                <w:lang w:val="en-US"/>
              </w:rPr>
              <w:t>/</w:t>
            </w:r>
            <w:r w:rsidRPr="00131BC5">
              <w:rPr>
                <w:rFonts w:ascii="Times New Roman" w:hAnsi="Times New Roman"/>
                <w:sz w:val="24"/>
                <w:szCs w:val="24"/>
              </w:rPr>
              <w:t>Ц</w:t>
            </w:r>
            <w:proofErr w:type="spellStart"/>
            <w:r w:rsidRPr="00131BC5">
              <w:rPr>
                <w:rFonts w:ascii="Times New Roman" w:hAnsi="Times New Roman"/>
                <w:sz w:val="24"/>
                <w:szCs w:val="24"/>
                <w:vertAlign w:val="subscript"/>
                <w:lang w:val="en-US"/>
              </w:rPr>
              <w:t>i</w:t>
            </w:r>
            <w:proofErr w:type="spellEnd"/>
          </w:p>
        </w:tc>
      </w:tr>
      <w:tr w:rsidR="00B66608"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131BC5" w:rsidRDefault="00B66608" w:rsidP="00B66608">
            <w:pPr>
              <w:jc w:val="center"/>
              <w:rPr>
                <w:rFonts w:ascii="Times New Roman" w:hAnsi="Times New Roman"/>
                <w:sz w:val="24"/>
                <w:szCs w:val="24"/>
              </w:rPr>
            </w:pPr>
            <w:r w:rsidRPr="00131BC5">
              <w:rPr>
                <w:rFonts w:ascii="Times New Roman" w:hAnsi="Times New Roman"/>
                <w:color w:val="000000"/>
                <w:sz w:val="24"/>
                <w:szCs w:val="24"/>
                <w:lang w:val="en-US"/>
              </w:rPr>
              <w:t>2</w:t>
            </w:r>
            <w:r w:rsidRPr="00131BC5">
              <w:rPr>
                <w:rFonts w:ascii="Times New Roman" w:hAnsi="Times New Roman"/>
                <w:color w:val="000000"/>
                <w:sz w:val="24"/>
                <w:szCs w:val="24"/>
              </w:rPr>
              <w:t>.</w:t>
            </w: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0C6A" w:rsidRPr="001B0C6A" w:rsidRDefault="001B0C6A" w:rsidP="001B0C6A">
            <w:pPr>
              <w:rPr>
                <w:rFonts w:ascii="Times New Roman" w:hAnsi="Times New Roman"/>
                <w:color w:val="000000"/>
                <w:sz w:val="24"/>
                <w:szCs w:val="24"/>
              </w:rPr>
            </w:pPr>
            <w:r w:rsidRPr="001B0C6A">
              <w:rPr>
                <w:rFonts w:ascii="Times New Roman" w:hAnsi="Times New Roman"/>
                <w:color w:val="000000"/>
                <w:sz w:val="24"/>
                <w:szCs w:val="24"/>
              </w:rPr>
              <w:t xml:space="preserve">Участник имеет опыт успешного оказания аналогичных услуг, </w:t>
            </w:r>
          </w:p>
          <w:p w:rsidR="00B66608" w:rsidRDefault="001B0C6A" w:rsidP="006F2490">
            <w:pPr>
              <w:rPr>
                <w:rFonts w:ascii="Times New Roman" w:hAnsi="Times New Roman"/>
                <w:b/>
                <w:color w:val="000000"/>
                <w:sz w:val="24"/>
                <w:szCs w:val="24"/>
              </w:rPr>
            </w:pPr>
            <w:proofErr w:type="gramStart"/>
            <w:r w:rsidRPr="001B0C6A">
              <w:rPr>
                <w:rFonts w:ascii="Times New Roman" w:hAnsi="Times New Roman"/>
                <w:color w:val="000000"/>
                <w:sz w:val="24"/>
                <w:szCs w:val="24"/>
              </w:rPr>
              <w:t xml:space="preserve">в течение 2-х последних лет </w:t>
            </w:r>
            <w:r w:rsidR="008526A6" w:rsidRPr="008526A6">
              <w:rPr>
                <w:rFonts w:ascii="Times New Roman" w:hAnsi="Times New Roman"/>
                <w:b/>
                <w:color w:val="000000"/>
                <w:sz w:val="24"/>
                <w:szCs w:val="24"/>
              </w:rPr>
              <w:t>организациям, осуществляющим свою деятельность в сфере ЖКХ</w:t>
            </w:r>
            <w:r w:rsidR="008526A6">
              <w:rPr>
                <w:rFonts w:ascii="Times New Roman" w:hAnsi="Times New Roman"/>
                <w:b/>
                <w:color w:val="000000"/>
                <w:sz w:val="24"/>
                <w:szCs w:val="24"/>
              </w:rPr>
              <w:t xml:space="preserve">, </w:t>
            </w:r>
            <w:r w:rsidR="008526A6" w:rsidRPr="008526A6">
              <w:rPr>
                <w:rFonts w:ascii="Times New Roman" w:hAnsi="Times New Roman"/>
                <w:b/>
                <w:color w:val="000000"/>
                <w:sz w:val="24"/>
                <w:szCs w:val="24"/>
              </w:rPr>
              <w:t xml:space="preserve"> подтвержденный документально: не менее 3-х договоров (предоставляются копии), в которых содержатся позиции аналогичных услуг в объеме, не меньшем по сравнению с предлагаемым к оказанию Заказчику, актами сдачи-приемки услуг (предоставляются копии), подписанными заказчиками без замечаний</w:t>
            </w:r>
            <w:proofErr w:type="gramEnd"/>
          </w:p>
          <w:p w:rsidR="008526A6" w:rsidRPr="00C8429A" w:rsidRDefault="008526A6" w:rsidP="006F2490">
            <w:pPr>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C8429A" w:rsidRDefault="00B66608" w:rsidP="00336376">
            <w:pPr>
              <w:jc w:val="center"/>
              <w:rPr>
                <w:rFonts w:ascii="Times New Roman" w:hAnsi="Times New Roman"/>
                <w:sz w:val="24"/>
                <w:szCs w:val="24"/>
              </w:rPr>
            </w:pPr>
            <w:r w:rsidRPr="00C8429A">
              <w:rPr>
                <w:rFonts w:ascii="Times New Roman" w:hAnsi="Times New Roman"/>
                <w:color w:val="000000"/>
                <w:sz w:val="24"/>
                <w:szCs w:val="24"/>
              </w:rPr>
              <w:t>К</w:t>
            </w:r>
            <w:proofErr w:type="gramStart"/>
            <w:r w:rsidRPr="00C8429A">
              <w:rPr>
                <w:rFonts w:ascii="Times New Roman" w:hAnsi="Times New Roman"/>
                <w:color w:val="000000"/>
                <w:sz w:val="24"/>
                <w:szCs w:val="24"/>
              </w:rPr>
              <w:t>2</w:t>
            </w:r>
            <w:proofErr w:type="gramEnd"/>
            <w:r w:rsidRPr="00C8429A">
              <w:rPr>
                <w:rFonts w:ascii="Times New Roman" w:hAnsi="Times New Roman"/>
                <w:color w:val="000000"/>
                <w:sz w:val="24"/>
                <w:szCs w:val="24"/>
              </w:rPr>
              <w:t xml:space="preserve"> = 0,</w:t>
            </w:r>
            <w:r w:rsidR="00336376">
              <w:rPr>
                <w:rFonts w:ascii="Times New Roman" w:hAnsi="Times New Roman"/>
                <w:color w:val="000000"/>
                <w:sz w:val="24"/>
                <w:szCs w:val="24"/>
              </w:rPr>
              <w:t>4</w:t>
            </w:r>
          </w:p>
        </w:tc>
        <w:tc>
          <w:tcPr>
            <w:tcW w:w="3119" w:type="dxa"/>
            <w:vAlign w:val="center"/>
          </w:tcPr>
          <w:p w:rsidR="00C8429A" w:rsidRPr="00C8429A" w:rsidRDefault="00C8429A" w:rsidP="00C8429A">
            <w:pPr>
              <w:spacing w:before="120"/>
              <w:ind w:left="567"/>
              <w:jc w:val="both"/>
              <w:rPr>
                <w:rFonts w:ascii="Times New Roman" w:hAnsi="Times New Roman"/>
                <w:bCs/>
                <w:iCs/>
                <w:sz w:val="24"/>
                <w:szCs w:val="24"/>
              </w:rPr>
            </w:pPr>
            <w:r w:rsidRPr="00C8429A">
              <w:rPr>
                <w:rFonts w:ascii="Times New Roman" w:hAnsi="Times New Roman"/>
                <w:bCs/>
                <w:iCs/>
                <w:sz w:val="24"/>
                <w:szCs w:val="24"/>
              </w:rPr>
              <w:t>К2i =К</w:t>
            </w:r>
            <w:proofErr w:type="gramStart"/>
            <w:r w:rsidRPr="00C8429A">
              <w:rPr>
                <w:rFonts w:ascii="Times New Roman" w:hAnsi="Times New Roman"/>
                <w:bCs/>
                <w:iCs/>
                <w:sz w:val="24"/>
                <w:szCs w:val="24"/>
              </w:rPr>
              <w:t>2</w:t>
            </w:r>
            <w:proofErr w:type="gramEnd"/>
            <w:r w:rsidRPr="00C8429A">
              <w:rPr>
                <w:rFonts w:ascii="Times New Roman" w:hAnsi="Times New Roman"/>
                <w:bCs/>
                <w:iCs/>
                <w:sz w:val="24"/>
                <w:szCs w:val="24"/>
              </w:rPr>
              <w:t xml:space="preserve">* (К2i/К2 </w:t>
            </w:r>
            <w:proofErr w:type="spellStart"/>
            <w:r w:rsidRPr="00C8429A">
              <w:rPr>
                <w:rFonts w:ascii="Times New Roman" w:hAnsi="Times New Roman"/>
                <w:bCs/>
                <w:iCs/>
                <w:sz w:val="24"/>
                <w:szCs w:val="24"/>
              </w:rPr>
              <w:t>max</w:t>
            </w:r>
            <w:proofErr w:type="spellEnd"/>
            <w:r w:rsidRPr="00C8429A">
              <w:rPr>
                <w:rFonts w:ascii="Times New Roman" w:hAnsi="Times New Roman"/>
                <w:bCs/>
                <w:iCs/>
                <w:sz w:val="24"/>
                <w:szCs w:val="24"/>
              </w:rPr>
              <w:t>)</w:t>
            </w:r>
          </w:p>
          <w:p w:rsidR="00B66608" w:rsidRPr="00C8429A" w:rsidRDefault="00B66608" w:rsidP="00B66608">
            <w:pPr>
              <w:jc w:val="center"/>
              <w:rPr>
                <w:rFonts w:ascii="Times New Roman" w:hAnsi="Times New Roman"/>
                <w:sz w:val="24"/>
                <w:szCs w:val="24"/>
              </w:rPr>
            </w:pPr>
          </w:p>
        </w:tc>
      </w:tr>
      <w:tr w:rsidR="00C8429A"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131BC5" w:rsidRDefault="00C8429A" w:rsidP="00B66608">
            <w:pPr>
              <w:jc w:val="center"/>
              <w:rPr>
                <w:rFonts w:ascii="Times New Roman" w:hAnsi="Times New Roman"/>
                <w:color w:val="000000"/>
                <w:sz w:val="24"/>
                <w:szCs w:val="24"/>
                <w:lang w:val="en-US"/>
              </w:rPr>
            </w:pP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B66608">
            <w:pPr>
              <w:rPr>
                <w:rFonts w:ascii="Times New Roman" w:hAnsi="Times New Roman"/>
                <w:color w:val="000000"/>
                <w:sz w:val="24"/>
                <w:szCs w:val="24"/>
              </w:rPr>
            </w:pPr>
            <w:r w:rsidRPr="00C8429A">
              <w:rPr>
                <w:rFonts w:ascii="Times New Roman" w:hAnsi="Times New Roman"/>
                <w:b/>
                <w:color w:val="000000"/>
                <w:sz w:val="24"/>
                <w:szCs w:val="24"/>
              </w:rPr>
              <w:t>ИТОГО:</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C8429A">
            <w:pPr>
              <w:jc w:val="center"/>
              <w:rPr>
                <w:rFonts w:ascii="Times New Roman" w:hAnsi="Times New Roman"/>
                <w:color w:val="000000"/>
                <w:sz w:val="24"/>
                <w:szCs w:val="24"/>
              </w:rPr>
            </w:pPr>
            <w:r>
              <w:rPr>
                <w:rFonts w:ascii="Times New Roman" w:hAnsi="Times New Roman"/>
                <w:color w:val="000000"/>
                <w:sz w:val="24"/>
                <w:szCs w:val="24"/>
              </w:rPr>
              <w:t>К</w:t>
            </w:r>
            <w:r w:rsidRPr="00C8429A">
              <w:rPr>
                <w:rFonts w:ascii="Times New Roman" w:hAnsi="Times New Roman"/>
                <w:color w:val="000000"/>
                <w:sz w:val="24"/>
                <w:szCs w:val="24"/>
              </w:rPr>
              <w:t>=1</w:t>
            </w:r>
            <w:r>
              <w:rPr>
                <w:rFonts w:ascii="Times New Roman" w:hAnsi="Times New Roman"/>
                <w:color w:val="000000"/>
                <w:sz w:val="24"/>
                <w:szCs w:val="24"/>
              </w:rPr>
              <w:t>,</w:t>
            </w:r>
            <w:r w:rsidRPr="00C8429A">
              <w:rPr>
                <w:rFonts w:ascii="Times New Roman" w:hAnsi="Times New Roman"/>
                <w:color w:val="000000"/>
                <w:sz w:val="24"/>
                <w:szCs w:val="24"/>
              </w:rPr>
              <w:t>00</w:t>
            </w:r>
          </w:p>
        </w:tc>
        <w:tc>
          <w:tcPr>
            <w:tcW w:w="3119" w:type="dxa"/>
            <w:vAlign w:val="center"/>
          </w:tcPr>
          <w:p w:rsidR="00C8429A" w:rsidRPr="00C8429A" w:rsidRDefault="00C8429A" w:rsidP="00CE771F">
            <w:pPr>
              <w:ind w:left="567"/>
              <w:rPr>
                <w:rFonts w:ascii="Times New Roman" w:hAnsi="Times New Roman"/>
                <w:bCs/>
                <w:iCs/>
                <w:sz w:val="24"/>
                <w:szCs w:val="24"/>
              </w:rPr>
            </w:pPr>
            <w:proofErr w:type="spellStart"/>
            <w:r w:rsidRPr="00C8429A">
              <w:rPr>
                <w:rFonts w:ascii="Times New Roman" w:hAnsi="Times New Roman"/>
                <w:bCs/>
                <w:iCs/>
                <w:sz w:val="24"/>
                <w:szCs w:val="24"/>
              </w:rPr>
              <w:t>Бi</w:t>
            </w:r>
            <w:proofErr w:type="spellEnd"/>
            <w:r w:rsidRPr="00C8429A">
              <w:rPr>
                <w:rFonts w:ascii="Times New Roman" w:hAnsi="Times New Roman"/>
                <w:bCs/>
                <w:iCs/>
                <w:sz w:val="24"/>
                <w:szCs w:val="24"/>
              </w:rPr>
              <w:t xml:space="preserve"> =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bCs/>
                <w:iCs/>
                <w:sz w:val="24"/>
                <w:szCs w:val="24"/>
              </w:rPr>
              <w:t xml:space="preserve"> + К2i</w:t>
            </w:r>
          </w:p>
        </w:tc>
      </w:tr>
    </w:tbl>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Критерий 1 – Цена является обязатель</w:t>
      </w:r>
      <w:bookmarkStart w:id="0" w:name="_GoBack"/>
      <w:bookmarkEnd w:id="0"/>
      <w:r w:rsidRPr="00B66608">
        <w:rPr>
          <w:rFonts w:ascii="Times New Roman" w:hAnsi="Times New Roman"/>
          <w:b/>
          <w:bCs/>
          <w:sz w:val="24"/>
          <w:szCs w:val="24"/>
        </w:rPr>
        <w:t>ным.</w:t>
      </w:r>
    </w:p>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В документации присваивается степень значимости критерия оценки – коэффициент К. Суммарно коэффициенты по всем критериям должны быть равны 1.</w:t>
      </w:r>
    </w:p>
    <w:p w:rsidR="00EF0673" w:rsidRPr="00131BC5" w:rsidRDefault="00EF0673" w:rsidP="00EF0673">
      <w:pPr>
        <w:spacing w:before="120"/>
        <w:ind w:left="567"/>
        <w:jc w:val="center"/>
        <w:rPr>
          <w:rFonts w:ascii="Times New Roman" w:hAnsi="Times New Roman"/>
          <w:sz w:val="24"/>
          <w:szCs w:val="24"/>
        </w:rPr>
      </w:pPr>
    </w:p>
    <w:p w:rsidR="00CE771F" w:rsidRPr="00CE771F" w:rsidRDefault="00CE771F" w:rsidP="00CE771F">
      <w:pPr>
        <w:spacing w:before="120"/>
        <w:ind w:left="567"/>
        <w:jc w:val="both"/>
        <w:rPr>
          <w:rFonts w:ascii="Times New Roman" w:hAnsi="Times New Roman"/>
          <w:bCs/>
          <w:iCs/>
          <w:sz w:val="24"/>
          <w:szCs w:val="24"/>
        </w:rPr>
      </w:pPr>
      <w:r w:rsidRPr="00CE771F">
        <w:rPr>
          <w:rFonts w:ascii="Times New Roman" w:hAnsi="Times New Roman"/>
          <w:b/>
          <w:bCs/>
          <w:iCs/>
          <w:sz w:val="24"/>
          <w:szCs w:val="24"/>
        </w:rPr>
        <w:t>Критерий 1.</w:t>
      </w:r>
      <w:r w:rsidRPr="00CE771F">
        <w:rPr>
          <w:rFonts w:ascii="Times New Roman" w:hAnsi="Times New Roman"/>
          <w:bCs/>
          <w:iCs/>
          <w:sz w:val="24"/>
          <w:szCs w:val="24"/>
        </w:rPr>
        <w:t xml:space="preserve"> 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Р1i – рейтинг i-го Предложения, </w:t>
      </w:r>
      <w:proofErr w:type="spellStart"/>
      <w:r w:rsidRPr="00CE771F">
        <w:rPr>
          <w:rFonts w:ascii="Times New Roman" w:hAnsi="Times New Roman"/>
          <w:bCs/>
          <w:iCs/>
          <w:sz w:val="24"/>
          <w:szCs w:val="24"/>
        </w:rPr>
        <w:t>Цi</w:t>
      </w:r>
      <w:proofErr w:type="spellEnd"/>
      <w:r w:rsidRPr="00CE771F">
        <w:rPr>
          <w:rFonts w:ascii="Times New Roman" w:hAnsi="Times New Roman"/>
          <w:bCs/>
          <w:iCs/>
          <w:sz w:val="24"/>
          <w:szCs w:val="24"/>
        </w:rPr>
        <w:t xml:space="preserve"> – цена i-го Предложения, </w:t>
      </w:r>
      <w:proofErr w:type="spellStart"/>
      <w:r w:rsidRPr="00CE771F">
        <w:rPr>
          <w:rFonts w:ascii="Times New Roman" w:hAnsi="Times New Roman"/>
          <w:bCs/>
          <w:iCs/>
          <w:sz w:val="24"/>
          <w:szCs w:val="24"/>
        </w:rPr>
        <w:t>Цmin</w:t>
      </w:r>
      <w:proofErr w:type="spellEnd"/>
      <w:r w:rsidRPr="00CE771F">
        <w:rPr>
          <w:rFonts w:ascii="Times New Roman" w:hAnsi="Times New Roman"/>
          <w:bCs/>
          <w:iCs/>
          <w:sz w:val="24"/>
          <w:szCs w:val="24"/>
        </w:rPr>
        <w:t xml:space="preserve"> – цена предложения, которому присвоен максимальный рейтинг.</w:t>
      </w:r>
    </w:p>
    <w:p w:rsidR="00CE771F" w:rsidRDefault="00CE771F" w:rsidP="00CE771F">
      <w:pPr>
        <w:spacing w:before="120"/>
        <w:ind w:left="567"/>
        <w:jc w:val="both"/>
        <w:rPr>
          <w:rFonts w:ascii="Times New Roman" w:hAnsi="Times New Roman"/>
          <w:bCs/>
          <w:iCs/>
          <w:sz w:val="24"/>
          <w:szCs w:val="24"/>
        </w:rPr>
      </w:pPr>
      <w:r w:rsidRPr="00CE771F">
        <w:rPr>
          <w:rFonts w:ascii="Times New Roman" w:hAnsi="Times New Roman"/>
          <w:bCs/>
          <w:iCs/>
          <w:sz w:val="24"/>
          <w:szCs w:val="24"/>
        </w:rPr>
        <w:t>При рассмотрении Предложений Участников по критерию минимальной цены подлежит рассмотрению без учета НДС.</w:t>
      </w:r>
    </w:p>
    <w:p w:rsidR="00336376" w:rsidRPr="00336376" w:rsidRDefault="00336376" w:rsidP="00CE771F">
      <w:pPr>
        <w:spacing w:before="120"/>
        <w:ind w:left="567"/>
        <w:jc w:val="both"/>
        <w:rPr>
          <w:rFonts w:ascii="Times New Roman" w:hAnsi="Times New Roman"/>
          <w:bCs/>
          <w:iCs/>
          <w:sz w:val="24"/>
          <w:szCs w:val="24"/>
        </w:rPr>
      </w:pP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Коэффициент значимости показателя (К</w:t>
      </w:r>
      <w:proofErr w:type="gramStart"/>
      <w:r w:rsidRPr="00336376">
        <w:rPr>
          <w:rFonts w:ascii="Times New Roman" w:hAnsi="Times New Roman"/>
          <w:color w:val="000000"/>
          <w:sz w:val="24"/>
          <w:szCs w:val="24"/>
        </w:rPr>
        <w:t>1</w:t>
      </w:r>
      <w:proofErr w:type="gramEnd"/>
      <w:r w:rsidRPr="00336376">
        <w:rPr>
          <w:rFonts w:ascii="Times New Roman" w:hAnsi="Times New Roman"/>
          <w:color w:val="000000"/>
          <w:sz w:val="24"/>
          <w:szCs w:val="24"/>
        </w:rPr>
        <w:t>) = 0,6</w:t>
      </w:r>
    </w:p>
    <w:p w:rsidR="00CE771F" w:rsidRDefault="00CE771F" w:rsidP="00A4641D">
      <w:pPr>
        <w:spacing w:before="120"/>
        <w:ind w:left="567"/>
        <w:jc w:val="both"/>
        <w:rPr>
          <w:rFonts w:ascii="Times New Roman" w:hAnsi="Times New Roman"/>
          <w:bCs/>
          <w:iCs/>
          <w:sz w:val="24"/>
          <w:szCs w:val="24"/>
        </w:rPr>
      </w:pPr>
    </w:p>
    <w:p w:rsidR="00A4641D" w:rsidRPr="00336376" w:rsidRDefault="00A4641D" w:rsidP="00A4641D">
      <w:pPr>
        <w:spacing w:before="120"/>
        <w:ind w:left="567"/>
        <w:jc w:val="both"/>
        <w:rPr>
          <w:rFonts w:ascii="Times New Roman" w:hAnsi="Times New Roman"/>
          <w:bCs/>
          <w:iCs/>
          <w:sz w:val="24"/>
          <w:szCs w:val="24"/>
        </w:rPr>
      </w:pPr>
      <w:r w:rsidRPr="00336376">
        <w:rPr>
          <w:rFonts w:ascii="Times New Roman" w:hAnsi="Times New Roman"/>
          <w:b/>
          <w:bCs/>
          <w:iCs/>
          <w:sz w:val="24"/>
          <w:szCs w:val="24"/>
        </w:rPr>
        <w:lastRenderedPageBreak/>
        <w:t>Критерий 2.</w:t>
      </w:r>
      <w:r w:rsidRPr="00336376">
        <w:rPr>
          <w:rFonts w:ascii="Times New Roman" w:hAnsi="Times New Roman"/>
          <w:bCs/>
          <w:iCs/>
          <w:sz w:val="24"/>
          <w:szCs w:val="24"/>
        </w:rPr>
        <w:t xml:space="preserve"> Оценка по критерию производится только исходя из документов, которые представлены в составе заявки участника.</w:t>
      </w:r>
    </w:p>
    <w:p w:rsidR="00A4641D" w:rsidRPr="00336376" w:rsidRDefault="00A4641D" w:rsidP="00A4641D">
      <w:pPr>
        <w:spacing w:before="120"/>
        <w:ind w:left="567"/>
        <w:jc w:val="both"/>
        <w:rPr>
          <w:rFonts w:ascii="Times New Roman" w:hAnsi="Times New Roman"/>
          <w:bCs/>
          <w:iCs/>
          <w:sz w:val="24"/>
          <w:szCs w:val="24"/>
        </w:rPr>
      </w:pPr>
      <w:r w:rsidRPr="00336376">
        <w:rPr>
          <w:rFonts w:ascii="Times New Roman" w:hAnsi="Times New Roman"/>
          <w:bCs/>
          <w:iCs/>
          <w:sz w:val="24"/>
          <w:szCs w:val="24"/>
        </w:rPr>
        <w:t xml:space="preserve">Оценивается опыт выполнения аналогичных к предмету закупки работ участником закупки по критерию 2. </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Коэффициент значимости показателя (К</w:t>
      </w:r>
      <w:proofErr w:type="gramStart"/>
      <w:r w:rsidRPr="00336376">
        <w:rPr>
          <w:rFonts w:ascii="Times New Roman" w:hAnsi="Times New Roman"/>
          <w:color w:val="000000"/>
          <w:sz w:val="24"/>
          <w:szCs w:val="24"/>
        </w:rPr>
        <w:t>2</w:t>
      </w:r>
      <w:proofErr w:type="gramEnd"/>
      <w:r w:rsidRPr="00336376">
        <w:rPr>
          <w:rFonts w:ascii="Times New Roman" w:hAnsi="Times New Roman"/>
          <w:color w:val="000000"/>
          <w:sz w:val="24"/>
          <w:szCs w:val="24"/>
        </w:rPr>
        <w:t>) = 0,4</w:t>
      </w:r>
    </w:p>
    <w:p w:rsidR="00336376" w:rsidRPr="00F1697B" w:rsidRDefault="00336376" w:rsidP="00336376">
      <w:pPr>
        <w:autoSpaceDE w:val="0"/>
        <w:autoSpaceDN w:val="0"/>
        <w:adjustRightInd w:val="0"/>
        <w:spacing w:after="240"/>
        <w:ind w:left="567"/>
        <w:jc w:val="both"/>
        <w:rPr>
          <w:rFonts w:ascii="Times New Roman" w:hAnsi="Times New Roman"/>
          <w:b/>
          <w:color w:val="000000"/>
          <w:sz w:val="24"/>
          <w:szCs w:val="24"/>
        </w:rPr>
      </w:pPr>
      <w:r w:rsidRPr="00336376">
        <w:rPr>
          <w:rFonts w:ascii="Times New Roman" w:hAnsi="Times New Roman"/>
          <w:color w:val="000000"/>
          <w:sz w:val="24"/>
          <w:szCs w:val="24"/>
        </w:rPr>
        <w:t xml:space="preserve">Предложение участника </w:t>
      </w:r>
      <w:proofErr w:type="gramStart"/>
      <w:r w:rsidRPr="00336376">
        <w:rPr>
          <w:rFonts w:ascii="Times New Roman" w:hAnsi="Times New Roman"/>
          <w:color w:val="000000"/>
          <w:sz w:val="24"/>
          <w:szCs w:val="24"/>
        </w:rPr>
        <w:t>о наличии опыта выполнения аналогичных услуг в сфере ЖКХ за последние два года до даты подачи заявки на участие</w:t>
      </w:r>
      <w:proofErr w:type="gramEnd"/>
      <w:r w:rsidRPr="00336376">
        <w:rPr>
          <w:rFonts w:ascii="Times New Roman" w:hAnsi="Times New Roman"/>
          <w:color w:val="000000"/>
          <w:sz w:val="24"/>
          <w:szCs w:val="24"/>
        </w:rPr>
        <w:t xml:space="preserve"> в конкурсе (без нарушений сроков и иных нарушений условий договора по вине участника) оценивается исходя из сумм (без НДС), которые складываются из стоимости выполненных услуг суммарно </w:t>
      </w:r>
      <w:r w:rsidRPr="00F1697B">
        <w:rPr>
          <w:rFonts w:ascii="Times New Roman" w:hAnsi="Times New Roman"/>
          <w:b/>
          <w:color w:val="000000"/>
          <w:sz w:val="24"/>
          <w:szCs w:val="24"/>
        </w:rPr>
        <w:t>по 3 договорам.</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Количество баллов, присуждаемых по показателю (К2i), определяется по формуле:</w:t>
      </w:r>
    </w:p>
    <w:p w:rsidR="00336376" w:rsidRPr="00336376" w:rsidRDefault="0071185D" w:rsidP="00336376">
      <w:pPr>
        <w:autoSpaceDE w:val="0"/>
        <w:autoSpaceDN w:val="0"/>
        <w:adjustRightInd w:val="0"/>
        <w:spacing w:before="120" w:after="240"/>
        <w:ind w:left="567"/>
        <w:rPr>
          <w:rFonts w:ascii="Times New Roman" w:hAnsi="Times New Roman"/>
          <w:color w:val="000000"/>
          <w:sz w:val="24"/>
          <w:szCs w:val="24"/>
        </w:rPr>
      </w:pPr>
      <w:r w:rsidRPr="00C8429A">
        <w:rPr>
          <w:rFonts w:ascii="Times New Roman" w:hAnsi="Times New Roman"/>
          <w:color w:val="000000"/>
          <w:sz w:val="24"/>
          <w:szCs w:val="24"/>
        </w:rPr>
        <w:t>К2</w:t>
      </w:r>
      <w:r w:rsidR="00336376" w:rsidRPr="00336376">
        <w:rPr>
          <w:rFonts w:ascii="Times New Roman" w:hAnsi="Times New Roman"/>
          <w:color w:val="000000"/>
          <w:sz w:val="24"/>
          <w:szCs w:val="24"/>
        </w:rPr>
        <w:t>i = К</w:t>
      </w:r>
      <w:proofErr w:type="gramStart"/>
      <w:r w:rsidR="00336376" w:rsidRPr="00336376">
        <w:rPr>
          <w:rFonts w:ascii="Times New Roman" w:hAnsi="Times New Roman"/>
          <w:color w:val="000000"/>
          <w:sz w:val="24"/>
          <w:szCs w:val="24"/>
        </w:rPr>
        <w:t>2</w:t>
      </w:r>
      <w:proofErr w:type="gramEnd"/>
      <w:r w:rsidR="00336376" w:rsidRPr="00336376">
        <w:rPr>
          <w:rFonts w:ascii="Times New Roman" w:hAnsi="Times New Roman"/>
          <w:color w:val="000000"/>
          <w:sz w:val="24"/>
          <w:szCs w:val="24"/>
        </w:rPr>
        <w:t xml:space="preserve">* (К2i/К2 </w:t>
      </w:r>
      <w:proofErr w:type="spellStart"/>
      <w:r w:rsidR="00336376" w:rsidRPr="00336376">
        <w:rPr>
          <w:rFonts w:ascii="Times New Roman" w:hAnsi="Times New Roman"/>
          <w:color w:val="000000"/>
          <w:sz w:val="24"/>
          <w:szCs w:val="24"/>
        </w:rPr>
        <w:t>max</w:t>
      </w:r>
      <w:proofErr w:type="spellEnd"/>
      <w:r w:rsidR="00336376" w:rsidRPr="00336376">
        <w:rPr>
          <w:rFonts w:ascii="Times New Roman" w:hAnsi="Times New Roman"/>
          <w:color w:val="000000"/>
          <w:sz w:val="24"/>
          <w:szCs w:val="24"/>
        </w:rPr>
        <w:t>)</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где:</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K2.i - предложение участника закупки, заявка (предложение) которого оценивается;</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К</w:t>
      </w:r>
      <w:proofErr w:type="gramStart"/>
      <w:r w:rsidRPr="00336376">
        <w:rPr>
          <w:rFonts w:ascii="Times New Roman" w:hAnsi="Times New Roman"/>
          <w:color w:val="000000"/>
          <w:sz w:val="24"/>
          <w:szCs w:val="24"/>
        </w:rPr>
        <w:t>2</w:t>
      </w:r>
      <w:proofErr w:type="gramEnd"/>
      <w:r w:rsidRPr="00336376">
        <w:rPr>
          <w:rFonts w:ascii="Times New Roman" w:hAnsi="Times New Roman"/>
          <w:color w:val="000000"/>
          <w:sz w:val="24"/>
          <w:szCs w:val="24"/>
        </w:rPr>
        <w:t xml:space="preserve">. </w:t>
      </w:r>
      <w:proofErr w:type="spellStart"/>
      <w:r w:rsidRPr="00336376">
        <w:rPr>
          <w:rFonts w:ascii="Times New Roman" w:hAnsi="Times New Roman"/>
          <w:color w:val="000000"/>
          <w:sz w:val="24"/>
          <w:szCs w:val="24"/>
        </w:rPr>
        <w:t>mах</w:t>
      </w:r>
      <w:proofErr w:type="spellEnd"/>
      <w:r w:rsidRPr="00336376">
        <w:rPr>
          <w:rFonts w:ascii="Times New Roman" w:hAnsi="Times New Roman"/>
          <w:color w:val="000000"/>
          <w:sz w:val="24"/>
          <w:szCs w:val="24"/>
        </w:rPr>
        <w:t xml:space="preserve"> - максимальное предложение из предложений по критерию оценки, сделанных участниками закупки.</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В качестве наличия опыта Участник закупки должен предоставить копии договоров, содержащих сведения о стоимости оказанных услуг с приложением копий актов оказанных услуг, подтверждающих исполнение обязательств по данным договорам за последние 2 (два) года.</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proofErr w:type="gramStart"/>
      <w:r w:rsidRPr="00336376">
        <w:rPr>
          <w:rFonts w:ascii="Times New Roman" w:hAnsi="Times New Roman"/>
          <w:color w:val="000000"/>
          <w:sz w:val="24"/>
          <w:szCs w:val="24"/>
        </w:rPr>
        <w:t>Аналогичными (подобными) предмету закупки будут считаться услуги по осуществлению казначейских операций, услуг по ведению бухгалтерского учета по российским и международным стандартам, налогового учета, в соответствии с требованиями действующего законодательства РФ, составлению и сдаче бухгалтерской, статистической и налоговой отчетности Заказчика в налоговые и другие государственные органы и фонды, оказываемые организациям, осуществляющим свою деятельность в сфере ЖКХ.</w:t>
      </w:r>
      <w:proofErr w:type="gramEnd"/>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Порядок начисления баллов:</w:t>
      </w:r>
    </w:p>
    <w:p w:rsidR="00336376" w:rsidRPr="00336376" w:rsidRDefault="00336376" w:rsidP="00336376">
      <w:pPr>
        <w:autoSpaceDE w:val="0"/>
        <w:autoSpaceDN w:val="0"/>
        <w:adjustRightInd w:val="0"/>
        <w:spacing w:after="240"/>
        <w:ind w:left="567"/>
        <w:jc w:val="both"/>
        <w:rPr>
          <w:rFonts w:ascii="Times New Roman" w:hAnsi="Times New Roman"/>
          <w:color w:val="000000"/>
          <w:sz w:val="24"/>
          <w:szCs w:val="24"/>
        </w:rPr>
      </w:pPr>
      <w:r w:rsidRPr="00336376">
        <w:rPr>
          <w:rFonts w:ascii="Times New Roman" w:hAnsi="Times New Roman"/>
          <w:color w:val="000000"/>
          <w:sz w:val="24"/>
          <w:szCs w:val="24"/>
        </w:rPr>
        <w:t>Баллы присваиваются в зависимости от суммы договоров, актов оказанных услуг, подобных предмету конкурса за последние 2 года до даты подачи заявки на участие в конкурсе.</w:t>
      </w:r>
    </w:p>
    <w:p w:rsidR="00A4641D" w:rsidRPr="00336376" w:rsidRDefault="00336376" w:rsidP="00336376">
      <w:pPr>
        <w:spacing w:before="120"/>
        <w:ind w:left="567"/>
        <w:jc w:val="both"/>
        <w:rPr>
          <w:rFonts w:ascii="Times New Roman" w:hAnsi="Times New Roman"/>
          <w:bCs/>
          <w:iCs/>
          <w:sz w:val="24"/>
          <w:szCs w:val="24"/>
        </w:rPr>
      </w:pPr>
      <w:r w:rsidRPr="00336376">
        <w:rPr>
          <w:rFonts w:ascii="Times New Roman" w:hAnsi="Times New Roman"/>
          <w:color w:val="000000"/>
          <w:sz w:val="24"/>
          <w:szCs w:val="24"/>
        </w:rPr>
        <w:t xml:space="preserve">В случае </w:t>
      </w:r>
      <w:proofErr w:type="spellStart"/>
      <w:r w:rsidRPr="00336376">
        <w:rPr>
          <w:rFonts w:ascii="Times New Roman" w:hAnsi="Times New Roman"/>
          <w:color w:val="000000"/>
          <w:sz w:val="24"/>
          <w:szCs w:val="24"/>
        </w:rPr>
        <w:t>непредоставления</w:t>
      </w:r>
      <w:proofErr w:type="spellEnd"/>
      <w:r w:rsidRPr="00336376">
        <w:rPr>
          <w:rFonts w:ascii="Times New Roman" w:hAnsi="Times New Roman"/>
          <w:color w:val="000000"/>
          <w:sz w:val="24"/>
          <w:szCs w:val="24"/>
        </w:rPr>
        <w:t xml:space="preserve"> Участником закупки копий договоров, содержащих сведения о стоимости оказанных услуг с приложением копий актов, подтверждающих исполнение обязательств по данным договорам за последние 2 (два) года, а также, подтверждение опыта оказания </w:t>
      </w:r>
      <w:proofErr w:type="gramStart"/>
      <w:r w:rsidRPr="00336376">
        <w:rPr>
          <w:rFonts w:ascii="Times New Roman" w:hAnsi="Times New Roman"/>
          <w:color w:val="000000"/>
          <w:sz w:val="24"/>
          <w:szCs w:val="24"/>
        </w:rPr>
        <w:t>услуг</w:t>
      </w:r>
      <w:proofErr w:type="gramEnd"/>
      <w:r w:rsidRPr="00336376">
        <w:rPr>
          <w:rFonts w:ascii="Times New Roman" w:hAnsi="Times New Roman"/>
          <w:color w:val="000000"/>
          <w:sz w:val="24"/>
          <w:szCs w:val="24"/>
        </w:rPr>
        <w:t xml:space="preserve"> в объеме менее требуемого, заявке Участника, начисляется 0 баллов по данному критерию.</w:t>
      </w:r>
    </w:p>
    <w:p w:rsidR="00C8429A" w:rsidRPr="00C8429A" w:rsidRDefault="00C8429A" w:rsidP="00C8429A">
      <w:pPr>
        <w:spacing w:before="120"/>
        <w:ind w:left="567"/>
        <w:jc w:val="both"/>
        <w:rPr>
          <w:rFonts w:ascii="Times New Roman" w:hAnsi="Times New Roman"/>
          <w:sz w:val="24"/>
          <w:szCs w:val="24"/>
        </w:rPr>
      </w:pPr>
      <w:r w:rsidRPr="00CE771F">
        <w:rPr>
          <w:rFonts w:ascii="Times New Roman" w:hAnsi="Times New Roman"/>
          <w:b/>
          <w:sz w:val="24"/>
          <w:szCs w:val="24"/>
        </w:rPr>
        <w:t>Итоговый балл заявки</w:t>
      </w:r>
      <w:r w:rsidRPr="00C8429A">
        <w:rPr>
          <w:rFonts w:ascii="Times New Roman" w:hAnsi="Times New Roman"/>
          <w:sz w:val="24"/>
          <w:szCs w:val="24"/>
        </w:rPr>
        <w:t xml:space="preserve"> участника i вычисляется как сумма баллов по каждому критерию оценки заявки:</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К2i</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где:</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итоговый рейтинг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 й заявки;</w:t>
      </w:r>
    </w:p>
    <w:p w:rsidR="00C8429A" w:rsidRPr="00C8429A" w:rsidRDefault="00C8429A" w:rsidP="00C8429A">
      <w:pPr>
        <w:spacing w:before="120"/>
        <w:ind w:left="567"/>
        <w:jc w:val="both"/>
        <w:rPr>
          <w:rFonts w:ascii="Times New Roman" w:hAnsi="Times New Roman"/>
          <w:sz w:val="24"/>
          <w:szCs w:val="24"/>
        </w:rPr>
      </w:pPr>
      <w:r w:rsidRPr="00131BC5">
        <w:rPr>
          <w:rFonts w:ascii="Times New Roman" w:hAnsi="Times New Roman"/>
          <w:sz w:val="24"/>
          <w:szCs w:val="24"/>
        </w:rPr>
        <w:lastRenderedPageBreak/>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итоговое количество баллов участника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по критерию 1 «цена договора»;</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 xml:space="preserve">К2i </w:t>
      </w:r>
      <w:r w:rsidR="00CE771F">
        <w:rPr>
          <w:rFonts w:ascii="Times New Roman" w:hAnsi="Times New Roman"/>
          <w:sz w:val="24"/>
          <w:szCs w:val="24"/>
        </w:rPr>
        <w:t xml:space="preserve">- </w:t>
      </w:r>
      <w:r w:rsidRPr="00C8429A">
        <w:rPr>
          <w:rFonts w:ascii="Times New Roman" w:hAnsi="Times New Roman"/>
          <w:sz w:val="24"/>
          <w:szCs w:val="24"/>
        </w:rPr>
        <w:t xml:space="preserve">итоговое количество баллов участника i по критерию 2 «опыт поставки участника закупки». </w:t>
      </w:r>
    </w:p>
    <w:p w:rsidR="00C8429A" w:rsidRDefault="00C8429A" w:rsidP="00C8429A">
      <w:pPr>
        <w:spacing w:before="120"/>
        <w:ind w:left="567"/>
        <w:jc w:val="both"/>
        <w:rPr>
          <w:rFonts w:ascii="Times New Roman" w:hAnsi="Times New Roman"/>
          <w:sz w:val="24"/>
          <w:szCs w:val="24"/>
        </w:rPr>
      </w:pPr>
    </w:p>
    <w:p w:rsidR="00131BC5" w:rsidRDefault="00131BC5" w:rsidP="00131BC5">
      <w:pPr>
        <w:spacing w:before="120"/>
        <w:ind w:left="567"/>
        <w:jc w:val="both"/>
        <w:rPr>
          <w:rFonts w:ascii="Times New Roman" w:hAnsi="Times New Roman"/>
          <w:sz w:val="24"/>
          <w:szCs w:val="24"/>
        </w:rPr>
      </w:pPr>
      <w:r w:rsidRPr="00131BC5">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E608F2" w:rsidRPr="00131BC5" w:rsidRDefault="00E608F2" w:rsidP="00E608F2">
      <w:pPr>
        <w:spacing w:before="240" w:after="120"/>
        <w:ind w:left="567"/>
        <w:jc w:val="both"/>
        <w:rPr>
          <w:rFonts w:ascii="Times New Roman" w:hAnsi="Times New Roman"/>
          <w:sz w:val="24"/>
          <w:szCs w:val="24"/>
        </w:rPr>
      </w:pPr>
      <w:r w:rsidRPr="00C8429A">
        <w:rPr>
          <w:rFonts w:ascii="Times New Roman" w:hAnsi="Times New Roman"/>
          <w:sz w:val="24"/>
          <w:szCs w:val="24"/>
        </w:rPr>
        <w:t>Победителем признается участник закупки, заявке которого присвоен высший балл.</w:t>
      </w:r>
    </w:p>
    <w:p w:rsidR="00131BC5" w:rsidRPr="00131BC5" w:rsidRDefault="00131BC5" w:rsidP="00E608F2">
      <w:pPr>
        <w:spacing w:before="240"/>
        <w:ind w:left="567"/>
        <w:jc w:val="both"/>
        <w:rPr>
          <w:rFonts w:ascii="Times New Roman" w:hAnsi="Times New Roman"/>
          <w:bCs/>
          <w:iCs/>
          <w:sz w:val="24"/>
          <w:szCs w:val="24"/>
        </w:rPr>
      </w:pPr>
      <w:r w:rsidRPr="00131BC5">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Default="00131BC5" w:rsidP="00131BC5">
      <w:pPr>
        <w:spacing w:before="120"/>
        <w:ind w:left="567"/>
        <w:jc w:val="both"/>
        <w:rPr>
          <w:rFonts w:ascii="Times New Roman" w:hAnsi="Times New Roman"/>
          <w:b/>
          <w:i/>
          <w:sz w:val="24"/>
          <w:szCs w:val="24"/>
          <w:highlight w:val="cyan"/>
        </w:rPr>
      </w:pP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9DF" w:rsidRDefault="00FA29DF">
      <w:r>
        <w:separator/>
      </w:r>
    </w:p>
  </w:endnote>
  <w:endnote w:type="continuationSeparator" w:id="0">
    <w:p w:rsidR="00FA29DF" w:rsidRDefault="00FA2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E73325" w:rsidRPr="00DB4E15">
      <w:rPr>
        <w:rFonts w:ascii="Arial" w:hAnsi="Arial" w:cs="Arial"/>
        <w:b/>
        <w:sz w:val="16"/>
        <w:szCs w:val="16"/>
      </w:rPr>
      <w:fldChar w:fldCharType="begin"/>
    </w:r>
    <w:r w:rsidRPr="00DB4E15">
      <w:rPr>
        <w:rFonts w:ascii="Arial" w:hAnsi="Arial" w:cs="Arial"/>
        <w:b/>
        <w:sz w:val="16"/>
        <w:szCs w:val="16"/>
      </w:rPr>
      <w:instrText>PAGE</w:instrText>
    </w:r>
    <w:r w:rsidR="00E73325" w:rsidRPr="00DB4E15">
      <w:rPr>
        <w:rFonts w:ascii="Arial" w:hAnsi="Arial" w:cs="Arial"/>
        <w:b/>
        <w:sz w:val="16"/>
        <w:szCs w:val="16"/>
      </w:rPr>
      <w:fldChar w:fldCharType="separate"/>
    </w:r>
    <w:r w:rsidR="0071185D">
      <w:rPr>
        <w:rFonts w:ascii="Arial" w:hAnsi="Arial" w:cs="Arial"/>
        <w:b/>
        <w:noProof/>
        <w:sz w:val="16"/>
        <w:szCs w:val="16"/>
      </w:rPr>
      <w:t>2</w:t>
    </w:r>
    <w:r w:rsidR="00E73325" w:rsidRPr="00DB4E15">
      <w:rPr>
        <w:rFonts w:ascii="Arial" w:hAnsi="Arial" w:cs="Arial"/>
        <w:b/>
        <w:sz w:val="16"/>
        <w:szCs w:val="16"/>
      </w:rPr>
      <w:fldChar w:fldCharType="end"/>
    </w:r>
    <w:r w:rsidRPr="00DB4E15">
      <w:rPr>
        <w:rFonts w:ascii="Arial" w:hAnsi="Arial" w:cs="Arial"/>
        <w:sz w:val="16"/>
        <w:szCs w:val="16"/>
      </w:rPr>
      <w:t xml:space="preserve"> из </w:t>
    </w:r>
    <w:r w:rsidR="00E73325" w:rsidRPr="00DB4E15">
      <w:rPr>
        <w:rFonts w:ascii="Arial" w:hAnsi="Arial" w:cs="Arial"/>
        <w:b/>
        <w:sz w:val="16"/>
        <w:szCs w:val="16"/>
      </w:rPr>
      <w:fldChar w:fldCharType="begin"/>
    </w:r>
    <w:r w:rsidRPr="00DB4E15">
      <w:rPr>
        <w:rFonts w:ascii="Arial" w:hAnsi="Arial" w:cs="Arial"/>
        <w:b/>
        <w:sz w:val="16"/>
        <w:szCs w:val="16"/>
      </w:rPr>
      <w:instrText>NUMPAGES</w:instrText>
    </w:r>
    <w:r w:rsidR="00E73325" w:rsidRPr="00DB4E15">
      <w:rPr>
        <w:rFonts w:ascii="Arial" w:hAnsi="Arial" w:cs="Arial"/>
        <w:b/>
        <w:sz w:val="16"/>
        <w:szCs w:val="16"/>
      </w:rPr>
      <w:fldChar w:fldCharType="separate"/>
    </w:r>
    <w:r w:rsidR="0071185D">
      <w:rPr>
        <w:rFonts w:ascii="Arial" w:hAnsi="Arial" w:cs="Arial"/>
        <w:b/>
        <w:noProof/>
        <w:sz w:val="16"/>
        <w:szCs w:val="16"/>
      </w:rPr>
      <w:t>3</w:t>
    </w:r>
    <w:r w:rsidR="00E73325"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9DF" w:rsidRDefault="00FA29DF">
      <w:r>
        <w:separator/>
      </w:r>
    </w:p>
  </w:footnote>
  <w:footnote w:type="continuationSeparator" w:id="0">
    <w:p w:rsidR="00FA29DF" w:rsidRDefault="00FA2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2FCE"/>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090"/>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97C1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0C6A"/>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AEE"/>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442"/>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376"/>
    <w:rsid w:val="00336D7A"/>
    <w:rsid w:val="00336F3C"/>
    <w:rsid w:val="00337772"/>
    <w:rsid w:val="00337887"/>
    <w:rsid w:val="00340475"/>
    <w:rsid w:val="00340CB5"/>
    <w:rsid w:val="0034148E"/>
    <w:rsid w:val="00341FFB"/>
    <w:rsid w:val="003422FF"/>
    <w:rsid w:val="0034392F"/>
    <w:rsid w:val="00344008"/>
    <w:rsid w:val="003441FE"/>
    <w:rsid w:val="00344207"/>
    <w:rsid w:val="0034434B"/>
    <w:rsid w:val="00345136"/>
    <w:rsid w:val="0034514C"/>
    <w:rsid w:val="0034546A"/>
    <w:rsid w:val="00345848"/>
    <w:rsid w:val="0034676D"/>
    <w:rsid w:val="003479CE"/>
    <w:rsid w:val="003503FD"/>
    <w:rsid w:val="00350467"/>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F88"/>
    <w:rsid w:val="003D70C6"/>
    <w:rsid w:val="003D714C"/>
    <w:rsid w:val="003D79C6"/>
    <w:rsid w:val="003D7D9D"/>
    <w:rsid w:val="003D7DD0"/>
    <w:rsid w:val="003E0046"/>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490"/>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6BC"/>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5D"/>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26A6"/>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84C"/>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41D"/>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08"/>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595"/>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29A"/>
    <w:rsid w:val="00C84A5D"/>
    <w:rsid w:val="00C84F60"/>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71F"/>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22FA"/>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8F2"/>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3325"/>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0B2B"/>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97B"/>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29DF"/>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146"/>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7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7F290-C9E4-4569-AFFC-022D65AF1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578</Words>
  <Characters>3882</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4452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9</cp:revision>
  <cp:lastPrinted>2016-04-01T07:05:00Z</cp:lastPrinted>
  <dcterms:created xsi:type="dcterms:W3CDTF">2019-05-21T09:31:00Z</dcterms:created>
  <dcterms:modified xsi:type="dcterms:W3CDTF">2020-01-24T08:22:00Z</dcterms:modified>
</cp:coreProperties>
</file>