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1</w:t>
      </w:r>
      <w:r w:rsidRPr="004878B5">
        <w:rPr>
          <w:rFonts w:ascii="Times New Roman" w:hAnsi="Times New Roman"/>
          <w:b/>
          <w:bCs/>
          <w:sz w:val="24"/>
          <w:szCs w:val="24"/>
        </w:rPr>
        <w:t xml:space="preserve"> – Цена является обязательным.</w:t>
      </w:r>
      <w:r w:rsidR="00A56206" w:rsidRPr="004878B5">
        <w:rPr>
          <w:rFonts w:ascii="Times New Roman" w:hAnsi="Times New Roman"/>
          <w:b/>
          <w:bCs/>
          <w:sz w:val="24"/>
          <w:szCs w:val="24"/>
        </w:rPr>
        <w:t xml:space="preserve"> </w:t>
      </w:r>
    </w:p>
    <w:p w:rsidR="003505BE" w:rsidRPr="004878B5" w:rsidRDefault="00A56206"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Весомость критерия 1 – цена должна быть  больше (</w:t>
      </w:r>
      <w:r w:rsidRPr="004878B5">
        <w:rPr>
          <w:rFonts w:ascii="Times New Roman" w:hAnsi="Times New Roman"/>
          <w:b/>
          <w:bCs/>
          <w:sz w:val="24"/>
          <w:szCs w:val="24"/>
          <w:lang w:val="en-US"/>
        </w:rPr>
        <w:t>v</w:t>
      </w:r>
      <w:r w:rsidRPr="004878B5">
        <w:rPr>
          <w:rFonts w:ascii="Times New Roman" w:hAnsi="Times New Roman"/>
          <w:b/>
          <w:bCs/>
          <w:sz w:val="24"/>
          <w:szCs w:val="24"/>
        </w:rPr>
        <w:t>1 не менее 0.5), либо равна суммарной весомости иных критериев при поставке товара.</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2</w:t>
      </w:r>
      <w:r w:rsidRPr="004878B5">
        <w:rPr>
          <w:rFonts w:ascii="Times New Roman" w:hAnsi="Times New Roman"/>
          <w:b/>
          <w:bCs/>
          <w:sz w:val="24"/>
          <w:szCs w:val="24"/>
        </w:rPr>
        <w:t xml:space="preserve">- опыт поставок </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 документации присваивается степень значимости</w:t>
      </w:r>
      <w:r w:rsidR="00FE02E4" w:rsidRPr="004878B5">
        <w:rPr>
          <w:rFonts w:ascii="Times New Roman" w:hAnsi="Times New Roman"/>
          <w:b/>
          <w:bCs/>
          <w:sz w:val="24"/>
          <w:szCs w:val="24"/>
        </w:rPr>
        <w:t xml:space="preserve"> критерия оценки – коэффициент </w:t>
      </w:r>
      <w:r w:rsidR="00FE02E4" w:rsidRPr="004878B5">
        <w:rPr>
          <w:rFonts w:ascii="Times New Roman" w:hAnsi="Times New Roman"/>
          <w:b/>
          <w:bCs/>
          <w:sz w:val="24"/>
          <w:szCs w:val="24"/>
          <w:lang w:val="en-US"/>
        </w:rPr>
        <w:t>V</w:t>
      </w:r>
      <w:r w:rsidRPr="004878B5">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9913" w:type="dxa"/>
        <w:tblLayout w:type="fixed"/>
        <w:tblLook w:val="04A0"/>
      </w:tblPr>
      <w:tblGrid>
        <w:gridCol w:w="730"/>
        <w:gridCol w:w="1788"/>
        <w:gridCol w:w="1300"/>
        <w:gridCol w:w="1417"/>
        <w:gridCol w:w="4678"/>
      </w:tblGrid>
      <w:tr w:rsidR="00C851EE" w:rsidRPr="00C851EE" w:rsidTr="004878B5">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4878B5" w:rsidRDefault="00C851EE" w:rsidP="00C851EE">
            <w:pPr>
              <w:jc w:val="both"/>
              <w:rPr>
                <w:rFonts w:ascii="Tahoma" w:hAnsi="Tahoma" w:cs="Tahoma"/>
                <w:b/>
                <w:bCs/>
                <w:color w:val="000000"/>
                <w:sz w:val="18"/>
                <w:szCs w:val="18"/>
              </w:rPr>
            </w:pPr>
            <w:r w:rsidRPr="004878B5">
              <w:rPr>
                <w:rFonts w:ascii="Tahoma" w:hAnsi="Tahoma" w:cs="Tahoma"/>
                <w:b/>
                <w:bCs/>
                <w:color w:val="000000"/>
                <w:sz w:val="18"/>
                <w:szCs w:val="18"/>
              </w:rPr>
              <w:t xml:space="preserve">№ </w:t>
            </w:r>
            <w:proofErr w:type="spellStart"/>
            <w:proofErr w:type="gramStart"/>
            <w:r w:rsidRPr="004878B5">
              <w:rPr>
                <w:rFonts w:ascii="Tahoma" w:hAnsi="Tahoma" w:cs="Tahoma"/>
                <w:b/>
                <w:bCs/>
                <w:color w:val="000000"/>
                <w:sz w:val="18"/>
                <w:szCs w:val="18"/>
              </w:rPr>
              <w:t>п</w:t>
            </w:r>
            <w:proofErr w:type="spellEnd"/>
            <w:proofErr w:type="gramEnd"/>
            <w:r w:rsidRPr="004878B5">
              <w:rPr>
                <w:rFonts w:ascii="Tahoma" w:hAnsi="Tahoma" w:cs="Tahoma"/>
                <w:b/>
                <w:bCs/>
                <w:color w:val="000000"/>
                <w:sz w:val="18"/>
                <w:szCs w:val="18"/>
              </w:rPr>
              <w:t>/</w:t>
            </w:r>
            <w:proofErr w:type="spellStart"/>
            <w:r w:rsidRPr="004878B5">
              <w:rPr>
                <w:rFonts w:ascii="Tahoma" w:hAnsi="Tahoma" w:cs="Tahoma"/>
                <w:b/>
                <w:bCs/>
                <w:color w:val="000000"/>
                <w:sz w:val="18"/>
                <w:szCs w:val="18"/>
              </w:rPr>
              <w:t>п</w:t>
            </w:r>
            <w:proofErr w:type="spellEnd"/>
          </w:p>
        </w:tc>
        <w:tc>
          <w:tcPr>
            <w:tcW w:w="1788"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Наименование и содержание критерия оценки заявки</w:t>
            </w:r>
          </w:p>
        </w:tc>
        <w:tc>
          <w:tcPr>
            <w:tcW w:w="7395"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Порядок оценки заявки </w:t>
            </w:r>
          </w:p>
        </w:tc>
      </w:tr>
      <w:tr w:rsidR="00C851EE" w:rsidRPr="00C851EE" w:rsidTr="004878B5">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4878B5" w:rsidRDefault="00C851EE" w:rsidP="00C851EE">
            <w:pPr>
              <w:rPr>
                <w:rFonts w:ascii="Tahoma" w:hAnsi="Tahoma" w:cs="Tahoma"/>
                <w:b/>
                <w:bCs/>
                <w:color w:val="000000"/>
                <w:sz w:val="18"/>
                <w:szCs w:val="18"/>
              </w:rPr>
            </w:pPr>
          </w:p>
        </w:tc>
        <w:tc>
          <w:tcPr>
            <w:tcW w:w="1788" w:type="dxa"/>
            <w:vMerge/>
            <w:tcBorders>
              <w:top w:val="single" w:sz="8" w:space="0" w:color="auto"/>
              <w:left w:val="single" w:sz="8" w:space="0" w:color="auto"/>
              <w:bottom w:val="single" w:sz="8" w:space="0" w:color="000000"/>
              <w:right w:val="nil"/>
            </w:tcBorders>
            <w:vAlign w:val="center"/>
            <w:hideMark/>
          </w:tcPr>
          <w:p w:rsidR="00C851EE" w:rsidRPr="004878B5" w:rsidRDefault="00C851EE" w:rsidP="00C851EE">
            <w:pPr>
              <w:rPr>
                <w:rFonts w:ascii="Tahoma" w:hAnsi="Tahoma" w:cs="Tahoma"/>
                <w:b/>
                <w:bCs/>
                <w:color w:val="000000"/>
                <w:sz w:val="18"/>
                <w:szCs w:val="18"/>
              </w:rPr>
            </w:pPr>
          </w:p>
        </w:tc>
        <w:tc>
          <w:tcPr>
            <w:tcW w:w="1300" w:type="dxa"/>
            <w:tcBorders>
              <w:top w:val="nil"/>
              <w:left w:val="single" w:sz="4" w:space="0" w:color="auto"/>
              <w:bottom w:val="single" w:sz="8" w:space="0" w:color="auto"/>
              <w:right w:val="single" w:sz="4" w:space="0" w:color="auto"/>
            </w:tcBorders>
            <w:shd w:val="clear" w:color="auto" w:fill="auto"/>
            <w:vAlign w:val="center"/>
            <w:hideMark/>
          </w:tcPr>
          <w:p w:rsidR="00C851EE" w:rsidRPr="004878B5" w:rsidRDefault="00D953A2"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Значимость/ </w:t>
            </w:r>
            <w:r w:rsidR="00C851EE" w:rsidRPr="004878B5">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Понятия и порядок расчета</w:t>
            </w:r>
          </w:p>
        </w:tc>
      </w:tr>
      <w:tr w:rsidR="00C851EE" w:rsidRPr="00C851EE" w:rsidTr="004878B5">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788"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1300"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4878B5">
            <w:pPr>
              <w:jc w:val="center"/>
              <w:rPr>
                <w:rFonts w:ascii="Tahoma" w:hAnsi="Tahoma" w:cs="Tahoma"/>
                <w:b/>
                <w:bCs/>
                <w:color w:val="000000"/>
                <w:lang w:val="en-US"/>
              </w:rPr>
            </w:pPr>
            <w:r w:rsidRPr="00C851EE">
              <w:rPr>
                <w:rFonts w:ascii="Tahoma" w:hAnsi="Tahoma" w:cs="Tahoma"/>
                <w:b/>
                <w:bCs/>
                <w:color w:val="000000"/>
              </w:rPr>
              <w:t>v1 = 0.</w:t>
            </w:r>
            <w:r w:rsidR="004878B5">
              <w:rPr>
                <w:rFonts w:ascii="Tahoma" w:hAnsi="Tahoma" w:cs="Tahoma"/>
                <w:b/>
                <w:bCs/>
                <w:color w:val="000000"/>
                <w:lang w:val="en-US"/>
              </w:rPr>
              <w:t>8</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4878B5">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788"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w:t>
            </w:r>
            <w:r w:rsidRPr="004878B5">
              <w:rPr>
                <w:rFonts w:ascii="Tahoma" w:hAnsi="Tahoma" w:cs="Tahoma"/>
                <w:b/>
                <w:bCs/>
                <w:sz w:val="18"/>
                <w:szCs w:val="18"/>
              </w:rPr>
              <w:t>Квалификация участника</w:t>
            </w:r>
            <w:r w:rsidRPr="00C851EE">
              <w:rPr>
                <w:rFonts w:ascii="Tahoma" w:hAnsi="Tahoma" w:cs="Tahoma"/>
                <w:b/>
                <w:bCs/>
              </w:rPr>
              <w:t>:</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4878B5" w:rsidRDefault="00967FBF" w:rsidP="004878B5">
            <w:pPr>
              <w:jc w:val="center"/>
              <w:rPr>
                <w:rFonts w:ascii="Tahoma" w:hAnsi="Tahoma" w:cs="Tahoma"/>
                <w:b/>
                <w:bCs/>
                <w:color w:val="000000"/>
                <w:lang w:val="en-US"/>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4878B5">
              <w:rPr>
                <w:rFonts w:ascii="Tahoma" w:hAnsi="Tahoma" w:cs="Tahoma"/>
                <w:b/>
                <w:bCs/>
                <w:color w:val="000000"/>
                <w:lang w:val="en-US"/>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091D8C">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4878B5">
              <w:rPr>
                <w:rFonts w:ascii="Tahoma" w:hAnsi="Tahoma" w:cs="Tahoma"/>
              </w:rPr>
              <w:t>поставок</w:t>
            </w:r>
            <w:r w:rsidR="004878B5" w:rsidRPr="004878B5">
              <w:rPr>
                <w:rFonts w:ascii="Tahoma" w:hAnsi="Tahoma" w:cs="Tahoma"/>
              </w:rPr>
              <w:t>/</w:t>
            </w:r>
            <w:r w:rsidRPr="00C851EE">
              <w:rPr>
                <w:rFonts w:ascii="Tahoma" w:hAnsi="Tahoma" w:cs="Tahoma"/>
              </w:rPr>
              <w:t>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r>
            <w:r w:rsidRPr="004878B5">
              <w:rPr>
                <w:rFonts w:ascii="Tahoma" w:hAnsi="Tahoma" w:cs="Tahoma"/>
                <w:color w:val="000000"/>
                <w:highlight w:val="yellow"/>
              </w:rPr>
              <w:t>Порядок начисления баллов:</w:t>
            </w:r>
            <w:r w:rsidRPr="004878B5">
              <w:rPr>
                <w:rFonts w:ascii="Tahoma" w:hAnsi="Tahoma" w:cs="Tahoma"/>
                <w:color w:val="000000"/>
                <w:highlight w:val="yellow"/>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w:t>
            </w:r>
            <w:r w:rsidRPr="004878B5">
              <w:rPr>
                <w:rFonts w:ascii="Tahoma" w:hAnsi="Tahoma" w:cs="Tahoma"/>
                <w:b/>
                <w:color w:val="000000"/>
                <w:highlight w:val="yellow"/>
              </w:rPr>
              <w:t>не более чем по 3 договорам за период 2 (Два) года до публикации документации о закупке.</w:t>
            </w:r>
          </w:p>
        </w:tc>
      </w:tr>
      <w:tr w:rsidR="007A4B23" w:rsidRPr="00C851EE" w:rsidTr="004878B5">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788" w:type="dxa"/>
            <w:tcBorders>
              <w:top w:val="nil"/>
              <w:left w:val="nil"/>
              <w:bottom w:val="single" w:sz="4" w:space="0" w:color="auto"/>
              <w:right w:val="single" w:sz="4" w:space="0" w:color="auto"/>
            </w:tcBorders>
            <w:shd w:val="clear" w:color="auto" w:fill="auto"/>
            <w:vAlign w:val="center"/>
            <w:hideMark/>
          </w:tcPr>
          <w:p w:rsidR="007A4B23" w:rsidRPr="00C76F37" w:rsidRDefault="007A4B23" w:rsidP="00C76F37">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r>
            <w:r w:rsidRPr="00C851EE">
              <w:rPr>
                <w:rFonts w:ascii="Tahoma" w:hAnsi="Tahoma" w:cs="Tahoma"/>
              </w:rPr>
              <w:lastRenderedPageBreak/>
              <w:t xml:space="preserve">Аналогичными  товарами к предмету закупки считать </w:t>
            </w:r>
            <w:proofErr w:type="spellStart"/>
            <w:r w:rsidR="00C76F37">
              <w:rPr>
                <w:rFonts w:ascii="Tahoma" w:hAnsi="Tahoma" w:cs="Tahoma"/>
                <w:lang w:val="en-US"/>
              </w:rPr>
              <w:t>поставку</w:t>
            </w:r>
            <w:proofErr w:type="spellEnd"/>
            <w:r w:rsidR="00C76F37">
              <w:rPr>
                <w:rFonts w:ascii="Tahoma" w:hAnsi="Tahoma" w:cs="Tahoma"/>
                <w:lang w:val="en-US"/>
              </w:rPr>
              <w:t xml:space="preserve"> оргтехники</w:t>
            </w:r>
          </w:p>
        </w:tc>
        <w:tc>
          <w:tcPr>
            <w:tcW w:w="1300"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4878B5">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788"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30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A7192B" w:rsidRDefault="00131BC5" w:rsidP="00131BC5">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FE440F" w:rsidRPr="00DB4E15">
      <w:rPr>
        <w:rFonts w:ascii="Arial" w:hAnsi="Arial" w:cs="Arial"/>
        <w:b/>
        <w:sz w:val="16"/>
        <w:szCs w:val="16"/>
      </w:rPr>
      <w:fldChar w:fldCharType="begin"/>
    </w:r>
    <w:r w:rsidRPr="00DB4E15">
      <w:rPr>
        <w:rFonts w:ascii="Arial" w:hAnsi="Arial" w:cs="Arial"/>
        <w:b/>
        <w:sz w:val="16"/>
        <w:szCs w:val="16"/>
      </w:rPr>
      <w:instrText>PAGE</w:instrText>
    </w:r>
    <w:r w:rsidR="00FE440F" w:rsidRPr="00DB4E15">
      <w:rPr>
        <w:rFonts w:ascii="Arial" w:hAnsi="Arial" w:cs="Arial"/>
        <w:b/>
        <w:sz w:val="16"/>
        <w:szCs w:val="16"/>
      </w:rPr>
      <w:fldChar w:fldCharType="separate"/>
    </w:r>
    <w:r w:rsidR="00C76F37">
      <w:rPr>
        <w:rFonts w:ascii="Arial" w:hAnsi="Arial" w:cs="Arial"/>
        <w:b/>
        <w:noProof/>
        <w:sz w:val="16"/>
        <w:szCs w:val="16"/>
      </w:rPr>
      <w:t>1</w:t>
    </w:r>
    <w:r w:rsidR="00FE440F" w:rsidRPr="00DB4E15">
      <w:rPr>
        <w:rFonts w:ascii="Arial" w:hAnsi="Arial" w:cs="Arial"/>
        <w:b/>
        <w:sz w:val="16"/>
        <w:szCs w:val="16"/>
      </w:rPr>
      <w:fldChar w:fldCharType="end"/>
    </w:r>
    <w:r w:rsidRPr="00DB4E15">
      <w:rPr>
        <w:rFonts w:ascii="Arial" w:hAnsi="Arial" w:cs="Arial"/>
        <w:sz w:val="16"/>
        <w:szCs w:val="16"/>
      </w:rPr>
      <w:t xml:space="preserve"> из </w:t>
    </w:r>
    <w:r w:rsidR="00FE440F" w:rsidRPr="00DB4E15">
      <w:rPr>
        <w:rFonts w:ascii="Arial" w:hAnsi="Arial" w:cs="Arial"/>
        <w:b/>
        <w:sz w:val="16"/>
        <w:szCs w:val="16"/>
      </w:rPr>
      <w:fldChar w:fldCharType="begin"/>
    </w:r>
    <w:r w:rsidRPr="00DB4E15">
      <w:rPr>
        <w:rFonts w:ascii="Arial" w:hAnsi="Arial" w:cs="Arial"/>
        <w:b/>
        <w:sz w:val="16"/>
        <w:szCs w:val="16"/>
      </w:rPr>
      <w:instrText>NUMPAGES</w:instrText>
    </w:r>
    <w:r w:rsidR="00FE440F" w:rsidRPr="00DB4E15">
      <w:rPr>
        <w:rFonts w:ascii="Arial" w:hAnsi="Arial" w:cs="Arial"/>
        <w:b/>
        <w:sz w:val="16"/>
        <w:szCs w:val="16"/>
      </w:rPr>
      <w:fldChar w:fldCharType="separate"/>
    </w:r>
    <w:r w:rsidR="00C76F37">
      <w:rPr>
        <w:rFonts w:ascii="Arial" w:hAnsi="Arial" w:cs="Arial"/>
        <w:b/>
        <w:noProof/>
        <w:sz w:val="16"/>
        <w:szCs w:val="16"/>
      </w:rPr>
      <w:t>2</w:t>
    </w:r>
    <w:r w:rsidR="00FE440F"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1D8C"/>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1AC"/>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8B5"/>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4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6F37"/>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40F"/>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4D0C8-D22B-4BE2-93FC-26502408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514</Words>
  <Characters>3182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5</cp:revision>
  <cp:lastPrinted>2016-04-01T07:05:00Z</cp:lastPrinted>
  <dcterms:created xsi:type="dcterms:W3CDTF">2019-02-06T07:25:00Z</dcterms:created>
  <dcterms:modified xsi:type="dcterms:W3CDTF">2019-06-13T12:02:00Z</dcterms:modified>
</cp:coreProperties>
</file>